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3D6B58"/>
          <w:sz w:val="19"/>
        </w:rPr>
        <w:t>MODIFIABLE REQUEST FOR PROPOSALS (RFP) TEMPLATE  |  VNA-RFP-024</w:t>
      </w:r>
    </w:p>
    <w:p>
      <w:pPr>
        <w:pStyle w:val="Heading1"/>
      </w:pPr>
      <w:r>
        <w:rPr>
          <w:color w:val="1E2620"/>
        </w:rPr>
        <w:t>Request for Proposals (RFP): Reverse-Engineer Undocumented PL/SQL, PowerBuilder &amp; Oracle Forms Codebases into Specs</w:t>
      </w:r>
    </w:p>
    <w:p>
      <w:r>
        <w:rPr>
          <w:sz w:val="20"/>
        </w:rPr>
        <w:t>Instructions for RFP Author: This editable Microsoft Word (.docx) document is structured so your IT, Architecture, and Procurement teams can issue a competitive, apples-to-apples Request for Proposals. Replace all bracketed placeholders ([...]) below with your organization's dates, contacts, and inventory counts.</w:t>
      </w:r>
    </w:p>
    <w:p>
      <w:pPr>
        <w:pStyle w:val="Heading2"/>
      </w:pPr>
      <w:r>
        <w:rPr>
          <w:color w:val="3D6B58"/>
        </w:rPr>
        <w:t>Section 1: Issuing Organization Profile &amp; Procurement Schedule (Editable)</w:t>
      </w:r>
    </w:p>
    <w:tbl>
      <w:tblPr>
        <w:tblStyle w:val="TableGrid"/>
        <w:tblW w:type="auto" w:w="0"/>
        <w:tblLook w:firstColumn="1" w:firstRow="1" w:lastColumn="0" w:lastRow="0" w:noHBand="0" w:noVBand="1" w:val="04A0"/>
      </w:tblPr>
      <w:tblGrid>
        <w:gridCol w:w="5040"/>
        <w:gridCol w:w="5040"/>
      </w:tblGrid>
      <w:tr>
        <w:tc>
          <w:tcPr>
            <w:tcW w:type="dxa" w:w="5040"/>
            <w:shd w:val="clear" w:color="auto" w:fill="1F2922"/>
          </w:tcPr>
          <w:p>
            <w:r>
              <w:rPr>
                <w:b/>
                <w:color w:val="FFFFFF"/>
                <w:sz w:val="19"/>
              </w:rPr>
              <w:t>Procurement Milestone / Field</w:t>
            </w:r>
          </w:p>
        </w:tc>
        <w:tc>
          <w:tcPr>
            <w:tcW w:type="dxa" w:w="5040"/>
            <w:shd w:val="clear" w:color="auto" w:fill="1F2922"/>
          </w:tcPr>
          <w:p>
            <w:r>
              <w:rPr>
                <w:b/>
                <w:color w:val="FFFFFF"/>
                <w:sz w:val="19"/>
              </w:rPr>
              <w:t>Target Date / Entry (Editable)</w:t>
            </w:r>
          </w:p>
        </w:tc>
      </w:tr>
      <w:tr>
        <w:tc>
          <w:tcPr>
            <w:tcW w:type="dxa" w:w="5040"/>
          </w:tcPr>
          <w:p>
            <w:r>
              <w:rPr>
                <w:b/>
              </w:rPr>
              <w:t>Issuing Organization Name</w:t>
            </w:r>
          </w:p>
        </w:tc>
        <w:tc>
          <w:tcPr>
            <w:tcW w:type="dxa" w:w="5040"/>
          </w:tcPr>
          <w:p>
            <w:r>
              <w:t>[Insert Legal Entity / Company Name]</w:t>
            </w:r>
          </w:p>
        </w:tc>
      </w:tr>
      <w:tr>
        <w:tc>
          <w:tcPr>
            <w:tcW w:type="dxa" w:w="5040"/>
          </w:tcPr>
          <w:p>
            <w:r>
              <w:rPr>
                <w:b/>
              </w:rPr>
              <w:t>Executive Sponsor &amp; Procurement Contact</w:t>
            </w:r>
          </w:p>
        </w:tc>
        <w:tc>
          <w:tcPr>
            <w:tcW w:type="dxa" w:w="5040"/>
          </w:tcPr>
          <w:p>
            <w:r>
              <w:t>[Insert Name, Title, Work Email &amp; Phone]</w:t>
            </w:r>
          </w:p>
        </w:tc>
      </w:tr>
      <w:tr>
        <w:tc>
          <w:tcPr>
            <w:tcW w:type="dxa" w:w="5040"/>
          </w:tcPr>
          <w:p>
            <w:r>
              <w:rPr>
                <w:b/>
              </w:rPr>
              <w:t>RFP Reference Code</w:t>
            </w:r>
          </w:p>
        </w:tc>
        <w:tc>
          <w:tcPr>
            <w:tcW w:type="dxa" w:w="5040"/>
          </w:tcPr>
          <w:p>
            <w:r>
              <w:t>VNA-RFP-024 (Companion to Solution Brief VNA-SB-024)</w:t>
            </w:r>
          </w:p>
        </w:tc>
      </w:tr>
      <w:tr>
        <w:tc>
          <w:tcPr>
            <w:tcW w:type="dxa" w:w="5040"/>
          </w:tcPr>
          <w:p>
            <w:r>
              <w:rPr>
                <w:b/>
              </w:rPr>
              <w:t>RFP Issue Date</w:t>
            </w:r>
          </w:p>
        </w:tc>
        <w:tc>
          <w:tcPr>
            <w:tcW w:type="dxa" w:w="5040"/>
          </w:tcPr>
          <w:p>
            <w:r>
              <w:t>[2026-10-27]</w:t>
            </w:r>
          </w:p>
        </w:tc>
      </w:tr>
      <w:tr>
        <w:tc>
          <w:tcPr>
            <w:tcW w:type="dxa" w:w="5040"/>
          </w:tcPr>
          <w:p>
            <w:r>
              <w:rPr>
                <w:b/>
              </w:rPr>
              <w:t>Vendor Written Questions Due</w:t>
            </w:r>
          </w:p>
        </w:tc>
        <w:tc>
          <w:tcPr>
            <w:tcW w:type="dxa" w:w="5040"/>
          </w:tcPr>
          <w:p>
            <w:r>
              <w:t>[Insert Date - Week 2]</w:t>
            </w:r>
          </w:p>
        </w:tc>
      </w:tr>
      <w:tr>
        <w:tc>
          <w:tcPr>
            <w:tcW w:type="dxa" w:w="5040"/>
          </w:tcPr>
          <w:p>
            <w:r>
              <w:rPr>
                <w:b/>
              </w:rPr>
              <w:t>Organization Responses to Vendor Q&amp;A</w:t>
            </w:r>
          </w:p>
        </w:tc>
        <w:tc>
          <w:tcPr>
            <w:tcW w:type="dxa" w:w="5040"/>
          </w:tcPr>
          <w:p>
            <w:r>
              <w:t>[Insert Date - Week 3]</w:t>
            </w:r>
          </w:p>
        </w:tc>
      </w:tr>
      <w:tr>
        <w:tc>
          <w:tcPr>
            <w:tcW w:type="dxa" w:w="5040"/>
          </w:tcPr>
          <w:p>
            <w:r>
              <w:rPr>
                <w:b/>
              </w:rPr>
              <w:t>Final Vendor Proposals &amp; Fixed-Fee Pricing Due</w:t>
            </w:r>
          </w:p>
        </w:tc>
        <w:tc>
          <w:tcPr>
            <w:tcW w:type="dxa" w:w="5040"/>
          </w:tcPr>
          <w:p>
            <w:r>
              <w:t>[Insert Date - Week 4]</w:t>
            </w:r>
          </w:p>
        </w:tc>
      </w:tr>
      <w:tr>
        <w:tc>
          <w:tcPr>
            <w:tcW w:type="dxa" w:w="5040"/>
          </w:tcPr>
          <w:p>
            <w:r>
              <w:rPr>
                <w:b/>
              </w:rPr>
              <w:t>Technical Architecture Demos / Oral Presentations</w:t>
            </w:r>
          </w:p>
        </w:tc>
        <w:tc>
          <w:tcPr>
            <w:tcW w:type="dxa" w:w="5040"/>
          </w:tcPr>
          <w:p>
            <w:r>
              <w:t>[Insert Date - Week 5]</w:t>
            </w:r>
          </w:p>
        </w:tc>
      </w:tr>
      <w:tr>
        <w:tc>
          <w:tcPr>
            <w:tcW w:type="dxa" w:w="5040"/>
          </w:tcPr>
          <w:p>
            <w:r>
              <w:rPr>
                <w:b/>
              </w:rPr>
              <w:t>Target Contract Award &amp; Phase 0 Kickoff</w:t>
            </w:r>
          </w:p>
        </w:tc>
        <w:tc>
          <w:tcPr>
            <w:tcW w:type="dxa" w:w="5040"/>
          </w:tcPr>
          <w:p>
            <w:r>
              <w:t>[Insert Date - Week 6]</w:t>
            </w:r>
          </w:p>
        </w:tc>
      </w:tr>
    </w:tbl>
    <w:p>
      <w:r>
        <w:t>[INSERT COMPANY NAME] ('Organization') is soliciting competitive proposals from qualified enterprise architecture and engineering partners to modernize and transition our current Undocumented Legacy Codebases (PL/SQL, PowerBuilder, Forms, Pro*C, T-SQL, RPG/COBOL) environment to AST Dependency Graphs, Business-Rule Catalogs, OpenAPI Specs &amp; Target Code.</w:t>
      </w:r>
    </w:p>
    <w:p>
      <w:pPr>
        <w:pStyle w:val="ListBullet"/>
      </w:pPr>
      <w:r>
        <w:t>Traditional discovery relies on interviewing business users who only know the screens they click daily and miss 40% of the silent validation, pricing, and compliance rules buried in triggers and stored procedures.</w:t>
      </w:r>
    </w:p>
    <w:p>
      <w:pPr>
        <w:pStyle w:val="ListBullet"/>
      </w:pPr>
      <w:r>
        <w:t>Conversely, dumping raw 10,000-line PL/SQL packages or PowerBuilder `.srw` files into generic AI chat windows fails due to context-window truncation, missing cross-file call graphs, and hallucinated summaries.</w:t>
      </w:r>
    </w:p>
    <w:p>
      <w:pPr>
        <w:pStyle w:val="ListBullet"/>
      </w:pPr>
      <w:r>
        <w:t>Without a dead-code audit, engineering teams waste 35%+ of their modernization budget converting obsolete screens, unused tables, and orphaned procedures that have not executed in years.</w:t>
      </w:r>
    </w:p>
    <w:p>
      <w:pPr>
        <w:pStyle w:val="Heading2"/>
      </w:pPr>
      <w:r>
        <w:rPr>
          <w:color w:val="3D6B58"/>
        </w:rPr>
        <w:t>Section 2: Current Environment Baseline Inventory (Editable)</w:t>
      </w:r>
    </w:p>
    <w:tbl>
      <w:tblPr>
        <w:tblStyle w:val="TableGrid"/>
        <w:tblW w:type="auto" w:w="0"/>
        <w:tblLook w:firstColumn="1" w:firstRow="1" w:lastColumn="0" w:lastRow="0" w:noHBand="0" w:noVBand="1" w:val="04A0"/>
      </w:tblPr>
      <w:tblGrid>
        <w:gridCol w:w="3360"/>
        <w:gridCol w:w="3360"/>
        <w:gridCol w:w="3360"/>
      </w:tblGrid>
      <w:tr>
        <w:tc>
          <w:tcPr>
            <w:tcW w:type="dxa" w:w="3360"/>
            <w:shd w:val="clear" w:color="auto" w:fill="3D6B58"/>
          </w:tcPr>
          <w:p>
            <w:r>
              <w:rPr>
                <w:b/>
                <w:color w:val="FFFFFF"/>
                <w:sz w:val="19"/>
              </w:rPr>
              <w:t>Inventory Dimension</w:t>
            </w:r>
          </w:p>
        </w:tc>
        <w:tc>
          <w:tcPr>
            <w:tcW w:type="dxa" w:w="3360"/>
            <w:shd w:val="clear" w:color="auto" w:fill="3D6B58"/>
          </w:tcPr>
          <w:p>
            <w:r>
              <w:rPr>
                <w:b/>
                <w:color w:val="FFFFFF"/>
                <w:sz w:val="19"/>
              </w:rPr>
              <w:t>Current Baseline Footprint (Editable)</w:t>
            </w:r>
          </w:p>
        </w:tc>
        <w:tc>
          <w:tcPr>
            <w:tcW w:type="dxa" w:w="3360"/>
            <w:shd w:val="clear" w:color="auto" w:fill="3D6B58"/>
          </w:tcPr>
          <w:p>
            <w:r>
              <w:rPr>
                <w:b/>
                <w:color w:val="FFFFFF"/>
                <w:sz w:val="19"/>
              </w:rPr>
              <w:t>Target Modernization SLA / Objective</w:t>
            </w:r>
          </w:p>
        </w:tc>
      </w:tr>
      <w:tr>
        <w:tc>
          <w:tcPr>
            <w:tcW w:type="dxa" w:w="3360"/>
          </w:tcPr>
          <w:p>
            <w:r>
              <w:rPr>
                <w:b/>
              </w:rPr>
              <w:t>Legacy Source Stack (Stack X)</w:t>
            </w:r>
          </w:p>
        </w:tc>
        <w:tc>
          <w:tcPr>
            <w:tcW w:type="dxa" w:w="3360"/>
          </w:tcPr>
          <w:p>
            <w:r>
              <w:t>Undocumented Legacy Codebases (PL/SQL, PowerBuilder, Forms, Pro*C, T-SQL, RPG/COBOL)</w:t>
            </w:r>
          </w:p>
        </w:tc>
        <w:tc>
          <w:tcPr>
            <w:tcW w:type="dxa" w:w="3360"/>
          </w:tcPr>
          <w:p>
            <w:r>
              <w:t>Full retirement / modernization</w:t>
            </w:r>
          </w:p>
        </w:tc>
      </w:tr>
      <w:tr>
        <w:tc>
          <w:tcPr>
            <w:tcW w:type="dxa" w:w="3360"/>
          </w:tcPr>
          <w:p>
            <w:r>
              <w:rPr>
                <w:b/>
              </w:rPr>
              <w:t>Target Architecture (Stack Y)</w:t>
            </w:r>
          </w:p>
        </w:tc>
        <w:tc>
          <w:tcPr>
            <w:tcW w:type="dxa" w:w="3360"/>
          </w:tcPr>
          <w:p>
            <w:r>
              <w:t>AST Dependency Graphs, Business-Rule Catalogs, OpenAPI Specs &amp; Target Code</w:t>
            </w:r>
          </w:p>
        </w:tc>
        <w:tc>
          <w:tcPr>
            <w:tcW w:type="dxa" w:w="3360"/>
          </w:tcPr>
          <w:p>
            <w:r>
              <w:t>Production HA/DR &amp; security governance</w:t>
            </w:r>
          </w:p>
        </w:tc>
      </w:tr>
      <w:tr>
        <w:tc>
          <w:tcPr>
            <w:tcW w:type="dxa" w:w="3360"/>
          </w:tcPr>
          <w:p>
            <w:r>
              <w:rPr>
                <w:b/>
              </w:rPr>
              <w:t>Lines of Undocumented Legacy Code (Thousands)</w:t>
            </w:r>
          </w:p>
        </w:tc>
        <w:tc>
          <w:tcPr>
            <w:tcW w:type="dxa" w:w="3360"/>
          </w:tcPr>
          <w:p>
            <w:r>
              <w:t>[Insert Count, e.g., 450 K LOC]</w:t>
            </w:r>
          </w:p>
        </w:tc>
        <w:tc>
          <w:tcPr>
            <w:tcW w:type="dxa" w:w="3360"/>
          </w:tcPr>
          <w:p>
            <w:r>
              <w:t>100% functional parity &amp; optimization</w:t>
            </w:r>
          </w:p>
        </w:tc>
      </w:tr>
      <w:tr>
        <w:tc>
          <w:tcPr>
            <w:tcW w:type="dxa" w:w="3360"/>
          </w:tcPr>
          <w:p>
            <w:r>
              <w:rPr>
                <w:b/>
              </w:rPr>
              <w:t>Legacy Reports, Forms &amp; Database Packages</w:t>
            </w:r>
          </w:p>
        </w:tc>
        <w:tc>
          <w:tcPr>
            <w:tcW w:type="dxa" w:w="3360"/>
          </w:tcPr>
          <w:p>
            <w:r>
              <w:t>[Insert Count, e.g., 600 objects]</w:t>
            </w:r>
          </w:p>
        </w:tc>
        <w:tc>
          <w:tcPr>
            <w:tcW w:type="dxa" w:w="3360"/>
          </w:tcPr>
          <w:p>
            <w:r>
              <w:t>Automated AST &amp; schema uplift</w:t>
            </w:r>
          </w:p>
        </w:tc>
      </w:tr>
      <w:tr>
        <w:tc>
          <w:tcPr>
            <w:tcW w:type="dxa" w:w="3360"/>
          </w:tcPr>
          <w:p>
            <w:r>
              <w:rPr>
                <w:b/>
              </w:rPr>
              <w:t>Query Fan-Out Rationalization (Cluster Cloned Queries -&gt; Canonical Core SQL + Runtime Filters)</w:t>
            </w:r>
          </w:p>
        </w:tc>
        <w:tc>
          <w:tcPr>
            <w:tcW w:type="dxa" w:w="3360"/>
          </w:tcPr>
          <w:p>
            <w:r>
              <w:t>[Insert Count, e.g., 80 % fan-out reduction]</w:t>
            </w:r>
          </w:p>
        </w:tc>
        <w:tc>
          <w:tcPr>
            <w:tcW w:type="dxa" w:w="3360"/>
          </w:tcPr>
          <w:p>
            <w:r>
              <w:t>Target rationalization / SLA</w:t>
            </w:r>
          </w:p>
        </w:tc>
      </w:tr>
      <w:tr>
        <w:tc>
          <w:tcPr>
            <w:tcW w:type="dxa" w:w="3360"/>
          </w:tcPr>
          <w:p>
            <w:r>
              <w:rPr>
                <w:b/>
              </w:rPr>
              <w:t>Target Cutover Downtime Window</w:t>
            </w:r>
          </w:p>
        </w:tc>
        <w:tc>
          <w:tcPr>
            <w:tcW w:type="dxa" w:w="3360"/>
          </w:tcPr>
          <w:p>
            <w:r>
              <w:t>[e.g., &lt; 15 Minutes / Near-Zero Downtime]</w:t>
            </w:r>
          </w:p>
        </w:tc>
        <w:tc>
          <w:tcPr>
            <w:tcW w:type="dxa" w:w="3360"/>
          </w:tcPr>
          <w:p>
            <w:r>
              <w:t>Rehearsed parallel run + rollback plan</w:t>
            </w:r>
          </w:p>
        </w:tc>
      </w:tr>
      <w:tr>
        <w:tc>
          <w:tcPr>
            <w:tcW w:type="dxa" w:w="3360"/>
          </w:tcPr>
          <w:p>
            <w:r>
              <w:rPr>
                <w:b/>
              </w:rPr>
              <w:t>Security, Compliance &amp; Identity</w:t>
            </w:r>
          </w:p>
        </w:tc>
        <w:tc>
          <w:tcPr>
            <w:tcW w:type="dxa" w:w="3360"/>
          </w:tcPr>
          <w:p>
            <w:r>
              <w:t>[e.g., SSO/MFA via Entra ID / Okta, Row-Level VPD]</w:t>
            </w:r>
          </w:p>
        </w:tc>
        <w:tc>
          <w:tcPr>
            <w:tcW w:type="dxa" w:w="3360"/>
          </w:tcPr>
          <w:p>
            <w:r>
              <w:t>Zero critical/high CVEs at Go-Live</w:t>
            </w:r>
          </w:p>
        </w:tc>
      </w:tr>
    </w:tbl>
    <w:p>
      <w:pPr>
        <w:pStyle w:val="Heading2"/>
      </w:pPr>
      <w:r>
        <w:rPr>
          <w:color w:val="3D6B58"/>
        </w:rPr>
        <w:t>Section 3: Mandatory Technical Scope of Work &amp; Conversion Matrix</w:t>
      </w:r>
    </w:p>
    <w:p>
      <w:pPr>
        <w:pStyle w:val="ListNumber"/>
      </w:pPr>
      <w:r>
        <w:rPr>
          <w:b/>
        </w:rPr>
        <w:t xml:space="preserve">[REQ-ARCH-01] </w:t>
      </w:r>
      <w:r>
        <w:t>Stage 1 - Deterministic Compiler AST &amp; Call-Graph Construction: We parse your complete source repository (`.pbl`/`.srw`/`.srd`, `.fmb`/`.pll`/`.rdf`, `DBA_SOURCE` PL/SQL, T-SQL, Pro*C, ColdFusion, C#) into a deterministic graph database mapping every UI control -&gt; event trigger -&gt; procedure call -&gt; table/column CRUD operation.</w:t>
      </w:r>
    </w:p>
    <w:p>
      <w:pPr>
        <w:pStyle w:val="ListNumber"/>
      </w:pPr>
      <w:r>
        <w:rPr>
          <w:b/>
        </w:rPr>
        <w:t xml:space="preserve">[REQ-ARCH-02] </w:t>
      </w:r>
      <w:r>
        <w:t>Stage 2 - Runtime Telemetry &amp; Dead-Code Pruning: By correlating the static AST call graph with database audit/AWR execution counts (`V$SQL` / `DBA_HIST_SQLSTAT` / table modification timestamps), we isolate the 30% to 45% of legacy objects that are completely dead.</w:t>
      </w:r>
    </w:p>
    <w:p>
      <w:pPr>
        <w:pStyle w:val="ListNumber"/>
      </w:pPr>
      <w:r>
        <w:rPr>
          <w:b/>
        </w:rPr>
        <w:t xml:space="preserve">[REQ-ARCH-03] </w:t>
      </w:r>
      <w:r>
        <w:t>Stage 3 - AST-Grounded AI Specification Synthesis: Each topologically sorted call subgraph is fed into our private OCI/Anthropic/OpenAI inference pipeline to produce human-readable Functional Requirements Documents (BRDs), state machines, and edge-case tables where every bullet cites the exact legacy file and line range.</w:t>
      </w:r>
    </w:p>
    <w:p>
      <w:pPr>
        <w:pStyle w:val="ListNumber"/>
      </w:pPr>
      <w:r>
        <w:rPr>
          <w:b/>
        </w:rPr>
        <w:t xml:space="preserve">[REQ-ARCH-04] </w:t>
      </w:r>
      <w:r>
        <w:t>Stage 4 - Automated Target Scaffolding &amp; Test Generation: From the verified AST and specification, we generate target Oracle APEX 24.2 blueprints, PL/SQL package stubs, OpenAPI 3.1 contracts, and `utPLSQL` / Playwright regression test suites.</w:t>
      </w:r>
    </w:p>
    <w:p>
      <w:pPr>
        <w:pStyle w:val="ListNumber"/>
      </w:pPr>
      <w:r>
        <w:rPr>
          <w:b/>
        </w:rPr>
        <w:t xml:space="preserve">[REQ-ARCH-05] </w:t>
      </w:r>
      <w:r>
        <w:t>Query Fan-Out Rationalization &amp; Runtime/Inference Filtering: Instead of migrating cloned reports and DataWindows 1-for-1, our AST SQL parser clusters queries by their canonical core JOIN graph, builds governed Oracle 23ai views only for those core queries, and generates dynamic WHERE clauses, faceted filters, and ad-hoc report variations at runtime and via AI inference (APEX 24.2 Smart Filters &amp; Select AI).</w:t>
      </w:r>
    </w:p>
    <w:tbl>
      <w:tblPr>
        <w:tblStyle w:val="TableGrid"/>
        <w:tblW w:type="auto" w:w="0"/>
        <w:tblLook w:firstColumn="1" w:firstRow="1" w:lastColumn="0" w:lastRow="0" w:noHBand="0" w:noVBand="1" w:val="04A0"/>
      </w:tblPr>
      <w:tblGrid>
        <w:gridCol w:w="2520"/>
        <w:gridCol w:w="2520"/>
        <w:gridCol w:w="2520"/>
        <w:gridCol w:w="2520"/>
      </w:tblGrid>
      <w:tr>
        <w:tc>
          <w:tcPr>
            <w:tcW w:type="dxa" w:w="2520"/>
            <w:shd w:val="clear" w:color="auto" w:fill="1F2922"/>
          </w:tcPr>
          <w:p>
            <w:r>
              <w:rPr>
                <w:b/>
                <w:color w:val="FFFFFF"/>
                <w:sz w:val="19"/>
              </w:rPr>
              <w:t>Req ID</w:t>
            </w:r>
          </w:p>
        </w:tc>
        <w:tc>
          <w:tcPr>
            <w:tcW w:type="dxa" w:w="2520"/>
            <w:shd w:val="clear" w:color="auto" w:fill="1F2922"/>
          </w:tcPr>
          <w:p>
            <w:r>
              <w:rPr>
                <w:b/>
                <w:color w:val="FFFFFF"/>
                <w:sz w:val="19"/>
              </w:rPr>
              <w:t>Legacy Artifact / Baseline Workload</w:t>
            </w:r>
          </w:p>
        </w:tc>
        <w:tc>
          <w:tcPr>
            <w:tcW w:type="dxa" w:w="2520"/>
            <w:shd w:val="clear" w:color="auto" w:fill="1F2922"/>
          </w:tcPr>
          <w:p>
            <w:r>
              <w:rPr>
                <w:b/>
                <w:color w:val="FFFFFF"/>
                <w:sz w:val="19"/>
              </w:rPr>
              <w:t>Required Target Architecture</w:t>
            </w:r>
          </w:p>
        </w:tc>
        <w:tc>
          <w:tcPr>
            <w:tcW w:type="dxa" w:w="2520"/>
            <w:shd w:val="clear" w:color="auto" w:fill="1F2922"/>
          </w:tcPr>
          <w:p>
            <w:r>
              <w:rPr>
                <w:b/>
                <w:color w:val="FFFFFF"/>
                <w:sz w:val="19"/>
              </w:rPr>
              <w:t>Engineering Method &amp; Acceptance Gate</w:t>
            </w:r>
          </w:p>
        </w:tc>
      </w:tr>
      <w:tr>
        <w:tc>
          <w:tcPr>
            <w:tcW w:type="dxa" w:w="2520"/>
          </w:tcPr>
          <w:p>
            <w:r>
              <w:rPr>
                <w:b/>
              </w:rPr>
              <w:t>REQ-01</w:t>
            </w:r>
          </w:p>
        </w:tc>
        <w:tc>
          <w:tcPr>
            <w:tcW w:type="dxa" w:w="2520"/>
          </w:tcPr>
          <w:p>
            <w:r>
              <w:t>Undocumented 5,000-Line PL/SQL or T-SQL Packages</w:t>
            </w:r>
          </w:p>
        </w:tc>
        <w:tc>
          <w:tcPr>
            <w:tcW w:type="dxa" w:w="2520"/>
          </w:tcPr>
          <w:p>
            <w:r>
              <w:t>Line-Cited Functional Specification + Modular Package Design</w:t>
            </w:r>
          </w:p>
        </w:tc>
        <w:tc>
          <w:tcPr>
            <w:tcW w:type="dxa" w:w="2520"/>
          </w:tcPr>
          <w:p>
            <w:r>
              <w:t>AST Control-Flow Graph + LLM Summarization</w:t>
            </w:r>
          </w:p>
        </w:tc>
      </w:tr>
      <w:tr>
        <w:tc>
          <w:tcPr>
            <w:tcW w:type="dxa" w:w="2520"/>
          </w:tcPr>
          <w:p>
            <w:r>
              <w:rPr>
                <w:b/>
              </w:rPr>
              <w:t>REQ-02</w:t>
            </w:r>
          </w:p>
        </w:tc>
        <w:tc>
          <w:tcPr>
            <w:tcW w:type="dxa" w:w="2520"/>
          </w:tcPr>
          <w:p>
            <w:r>
              <w:t>Spaghetti UI Triggers (PowerBuilder / Oracle Forms)</w:t>
            </w:r>
          </w:p>
        </w:tc>
        <w:tc>
          <w:tcPr>
            <w:tcW w:type="dxa" w:w="2520"/>
          </w:tcPr>
          <w:p>
            <w:r>
              <w:t>Extracted Business-Rule Catalog + State Transition Matrix</w:t>
            </w:r>
          </w:p>
        </w:tc>
        <w:tc>
          <w:tcPr>
            <w:tcW w:type="dxa" w:w="2520"/>
          </w:tcPr>
          <w:p>
            <w:r>
              <w:t>UI-vs-Domain Logic Separation Classifier</w:t>
            </w:r>
          </w:p>
        </w:tc>
      </w:tr>
      <w:tr>
        <w:tc>
          <w:tcPr>
            <w:tcW w:type="dxa" w:w="2520"/>
          </w:tcPr>
          <w:p>
            <w:r>
              <w:rPr>
                <w:b/>
              </w:rPr>
              <w:t>REQ-03</w:t>
            </w:r>
          </w:p>
        </w:tc>
        <w:tc>
          <w:tcPr>
            <w:tcW w:type="dxa" w:w="2520"/>
          </w:tcPr>
          <w:p>
            <w:r>
              <w:t>Orphaned Tables, Views &amp; Uncalled Procedures</w:t>
            </w:r>
          </w:p>
        </w:tc>
        <w:tc>
          <w:tcPr>
            <w:tcW w:type="dxa" w:w="2520"/>
          </w:tcPr>
          <w:p>
            <w:r>
              <w:t>Verified Dead-Code Decommission Manifest</w:t>
            </w:r>
          </w:p>
        </w:tc>
        <w:tc>
          <w:tcPr>
            <w:tcW w:type="dxa" w:w="2520"/>
          </w:tcPr>
          <w:p>
            <w:r>
              <w:t>Static Call-Graph + `DBA_HIST_SQLSTAT` Join</w:t>
            </w:r>
          </w:p>
        </w:tc>
      </w:tr>
      <w:tr>
        <w:tc>
          <w:tcPr>
            <w:tcW w:type="dxa" w:w="2520"/>
          </w:tcPr>
          <w:p>
            <w:r>
              <w:rPr>
                <w:b/>
              </w:rPr>
              <w:t>REQ-04</w:t>
            </w:r>
          </w:p>
        </w:tc>
        <w:tc>
          <w:tcPr>
            <w:tcW w:type="dxa" w:w="2520"/>
          </w:tcPr>
          <w:p>
            <w:r>
              <w:t>Implicit Foreign Keys (Enforced Only in App Code)</w:t>
            </w:r>
          </w:p>
        </w:tc>
        <w:tc>
          <w:tcPr>
            <w:tcW w:type="dxa" w:w="2520"/>
          </w:tcPr>
          <w:p>
            <w:r>
              <w:t>Explicit DDL Constraints &amp; Interactive ERD Lineage Diagram</w:t>
            </w:r>
          </w:p>
        </w:tc>
        <w:tc>
          <w:tcPr>
            <w:tcW w:type="dxa" w:w="2520"/>
          </w:tcPr>
          <w:p>
            <w:r>
              <w:t>AST Join-Predicate Mining</w:t>
            </w:r>
          </w:p>
        </w:tc>
      </w:tr>
      <w:tr>
        <w:tc>
          <w:tcPr>
            <w:tcW w:type="dxa" w:w="2520"/>
          </w:tcPr>
          <w:p>
            <w:r>
              <w:rPr>
                <w:b/>
              </w:rPr>
              <w:t>REQ-05</w:t>
            </w:r>
          </w:p>
        </w:tc>
        <w:tc>
          <w:tcPr>
            <w:tcW w:type="dxa" w:w="2520"/>
          </w:tcPr>
          <w:p>
            <w:r>
              <w:t>Cloned Reports / Queries Differing Only by WHERE Clause or Group-By (Query Fan-Out)</w:t>
            </w:r>
          </w:p>
        </w:tc>
        <w:tc>
          <w:tcPr>
            <w:tcW w:type="dxa" w:w="2520"/>
          </w:tcPr>
          <w:p>
            <w:r>
              <w:t>Canonical Core SQL View + APEX 24.2 Runtime / AI Inference Filters</w:t>
            </w:r>
          </w:p>
        </w:tc>
        <w:tc>
          <w:tcPr>
            <w:tcW w:type="dxa" w:w="2520"/>
          </w:tcPr>
          <w:p>
            <w:r>
              <w:t>AST Join-Graph Clustering (75-90% Report Count Reduction)</w:t>
            </w:r>
          </w:p>
        </w:tc>
      </w:tr>
    </w:tbl>
    <w:p>
      <w:pPr>
        <w:pStyle w:val="Heading2"/>
      </w:pPr>
      <w:r>
        <w:rPr>
          <w:color w:val="3D6B58"/>
        </w:rPr>
        <w:t>Section 4: Vendor Technical Q&amp;A Questionnaire &amp; Evaluation Rubric</w:t>
      </w:r>
    </w:p>
    <w:p>
      <w:r>
        <w:t>Bidders must provide direct written responses to each question below. Evaluation committee members can grade vendor responses (0 to 10 points) using the Reference Evaluation Benchmark provided under each question.</w:t>
      </w:r>
    </w:p>
    <w:p>
      <w:r>
        <w:rPr>
          <w:b/>
        </w:rPr>
        <w:t>Vendor Question 1: How is Legacy Code X-Ray different from simply using GitHub Copilot or ChatGPT on our source files?   [Evaluator Score: ___ / 10]</w:t>
      </w:r>
    </w:p>
    <w:p>
      <w:pPr>
        <w:pStyle w:val="ListBullet"/>
      </w:pPr>
      <w:r>
        <w:rPr>
          <w:b/>
        </w:rPr>
        <w:t xml:space="preserve">Reference Evaluation Benchmark: </w:t>
      </w:r>
      <w:r>
        <w:t>LLMs alone cannot resolve cross-file inheritance, global variables, dynamic SQL, or database trigger chains across 2,000 files. We use real compiler parsers (including Oracle `PL/Scope` and our PBL/FMB AST engines) to build the exact mathematical dependency graph first, so the AI never guesses or hallucinates relationships.</w:t>
      </w:r>
    </w:p>
    <w:p>
      <w:pPr>
        <w:pStyle w:val="ListBullet"/>
      </w:pPr>
      <w:r>
        <w:rPr>
          <w:b/>
        </w:rPr>
        <w:t xml:space="preserve">Vendor Written Response: </w:t>
      </w:r>
      <w:r>
        <w:t>[Bidder to insert concrete technical architecture and verifiable production proof here]</w:t>
      </w:r>
    </w:p>
    <w:p>
      <w:r>
        <w:rPr>
          <w:b/>
        </w:rPr>
        <w:t>Vendor Question 2: Does our source code ever train public AI models?   [Evaluator Score: ___ / 10]</w:t>
      </w:r>
    </w:p>
    <w:p>
      <w:pPr>
        <w:pStyle w:val="ListBullet"/>
      </w:pPr>
      <w:r>
        <w:rPr>
          <w:b/>
        </w:rPr>
        <w:t xml:space="preserve">Reference Evaluation Benchmark: </w:t>
      </w:r>
      <w:r>
        <w:t>Never. All AST parsing runs locally inside isolated enclaves, and any semantic summarization uses zero-data-retention enterprise API endpoints.</w:t>
      </w:r>
    </w:p>
    <w:p>
      <w:pPr>
        <w:pStyle w:val="ListBullet"/>
      </w:pPr>
      <w:r>
        <w:rPr>
          <w:b/>
        </w:rPr>
        <w:t xml:space="preserve">Vendor Written Response: </w:t>
      </w:r>
      <w:r>
        <w:t>[Bidder to insert concrete technical architecture and verifiable production proof here]</w:t>
      </w:r>
    </w:p>
    <w:p>
      <w:r>
        <w:rPr>
          <w:b/>
        </w:rPr>
        <w:t>Vendor Question 3: What is included in the downloadable PDF Solution Brief?   [Evaluator Score: ___ / 10]</w:t>
      </w:r>
    </w:p>
    <w:p>
      <w:pPr>
        <w:pStyle w:val="ListBullet"/>
      </w:pPr>
      <w:r>
        <w:rPr>
          <w:b/>
        </w:rPr>
        <w:t xml:space="preserve">Reference Evaluation Benchmark: </w:t>
      </w:r>
      <w:r>
        <w:t>The PDF Solution Brief includes a sample Legacy Code X-Ray Diagnostic Output (showing an AST dependency map, extracted business-rule table with line citations, and dead-code scorecard) plus instructions for requesting a 2-week Phase 0 Codebase Assessment.</w:t>
      </w:r>
    </w:p>
    <w:p>
      <w:pPr>
        <w:pStyle w:val="ListBullet"/>
      </w:pPr>
      <w:r>
        <w:rPr>
          <w:b/>
        </w:rPr>
        <w:t xml:space="preserve">Vendor Written Response: </w:t>
      </w:r>
      <w:r>
        <w:t>[Bidder to insert concrete technical architecture and verifiable production proof here]</w:t>
      </w:r>
    </w:p>
    <w:p>
      <w:r>
        <w:rPr>
          <w:b/>
        </w:rPr>
        <w:t>Vendor Question 4: How do you prevent report and query fan-out bloat, and how do you guarantee 100% customer code ownership?   [Evaluator Score: ___ / 10]</w:t>
      </w:r>
    </w:p>
    <w:p>
      <w:pPr>
        <w:pStyle w:val="ListBullet"/>
      </w:pPr>
      <w:r>
        <w:rPr>
          <w:b/>
        </w:rPr>
        <w:t xml:space="preserve">Reference Evaluation Benchmark: </w:t>
      </w:r>
      <w:r>
        <w:t>Vendor must demonstrate AST SQL clustering (collapsing 75%-90% of cloned queries into core database views with runtime predicates) and confirm 100% customer ownership of all DDL, PL/SQL, APEX, and cloud source code with zero proprietary runtime lock-in.</w:t>
      </w:r>
    </w:p>
    <w:p>
      <w:pPr>
        <w:pStyle w:val="ListBullet"/>
      </w:pPr>
      <w:r>
        <w:rPr>
          <w:b/>
        </w:rPr>
        <w:t xml:space="preserve">Vendor Written Response: </w:t>
      </w:r>
      <w:r>
        <w:t>[Bidder to insert concrete technical architecture and verifiable production proof here]</w:t>
      </w:r>
    </w:p>
    <w:p>
      <w:r>
        <w:rPr>
          <w:b/>
        </w:rPr>
        <w:t>Vendor Question 5: Describe your automated regression testing, data parity verification, and zero-downtime cutover methodology.   [Evaluator Score: ___ / 10]</w:t>
      </w:r>
    </w:p>
    <w:p>
      <w:pPr>
        <w:pStyle w:val="ListBullet"/>
      </w:pPr>
      <w:r>
        <w:rPr>
          <w:b/>
        </w:rPr>
        <w:t xml:space="preserve">Reference Evaluation Benchmark: </w:t>
      </w:r>
      <w:r>
        <w:t>Vendor must provide automated row-count and cryptographic hash reconciliation, automated unit/UI test suites (utPLSQL, Playwright), and a rehearsed cutover runbook with sub-minute rollback capability.</w:t>
      </w:r>
    </w:p>
    <w:p>
      <w:pPr>
        <w:pStyle w:val="ListBullet"/>
      </w:pPr>
      <w:r>
        <w:rPr>
          <w:b/>
        </w:rPr>
        <w:t xml:space="preserve">Vendor Written Response: </w:t>
      </w:r>
      <w:r>
        <w:t>[Bidder to insert concrete technical architecture and verifiable production proof here]</w:t>
      </w:r>
    </w:p>
    <w:p>
      <w:pPr>
        <w:pStyle w:val="Heading2"/>
      </w:pPr>
      <w:r>
        <w:rPr>
          <w:color w:val="3D6B58"/>
        </w:rPr>
        <w:t>Section 5: Commercial Milestone Pricing &amp; Evaluation Scorecard (Editable)</w:t>
      </w:r>
    </w:p>
    <w:tbl>
      <w:tblPr>
        <w:tblStyle w:val="TableGrid"/>
        <w:tblW w:type="auto" w:w="0"/>
        <w:tblLook w:firstColumn="1" w:firstRow="1" w:lastColumn="0" w:lastRow="0" w:noHBand="0" w:noVBand="1" w:val="04A0"/>
      </w:tblPr>
      <w:tblGrid>
        <w:gridCol w:w="2520"/>
        <w:gridCol w:w="2520"/>
        <w:gridCol w:w="2520"/>
        <w:gridCol w:w="2520"/>
      </w:tblGrid>
      <w:tr>
        <w:tc>
          <w:tcPr>
            <w:tcW w:type="dxa" w:w="2520"/>
            <w:shd w:val="clear" w:color="auto" w:fill="1F2922"/>
          </w:tcPr>
          <w:p>
            <w:r>
              <w:rPr>
                <w:b/>
                <w:color w:val="FFFFFF"/>
                <w:sz w:val="19"/>
              </w:rPr>
              <w:t>Milestone / Phase</w:t>
            </w:r>
          </w:p>
        </w:tc>
        <w:tc>
          <w:tcPr>
            <w:tcW w:type="dxa" w:w="2520"/>
            <w:shd w:val="clear" w:color="auto" w:fill="1F2922"/>
          </w:tcPr>
          <w:p>
            <w:r>
              <w:rPr>
                <w:b/>
                <w:color w:val="FFFFFF"/>
                <w:sz w:val="19"/>
              </w:rPr>
              <w:t>Deliverable &amp; Acceptance Gate</w:t>
            </w:r>
          </w:p>
        </w:tc>
        <w:tc>
          <w:tcPr>
            <w:tcW w:type="dxa" w:w="2520"/>
            <w:shd w:val="clear" w:color="auto" w:fill="1F2922"/>
          </w:tcPr>
          <w:p>
            <w:r>
              <w:rPr>
                <w:b/>
                <w:color w:val="FFFFFF"/>
                <w:sz w:val="19"/>
              </w:rPr>
              <w:t>Fixed Fee (USD)</w:t>
            </w:r>
          </w:p>
        </w:tc>
        <w:tc>
          <w:tcPr>
            <w:tcW w:type="dxa" w:w="2520"/>
            <w:shd w:val="clear" w:color="auto" w:fill="1F2922"/>
          </w:tcPr>
          <w:p>
            <w:r>
              <w:rPr>
                <w:b/>
                <w:color w:val="FFFFFF"/>
                <w:sz w:val="19"/>
              </w:rPr>
              <w:t>Estimated Weeks</w:t>
            </w:r>
          </w:p>
        </w:tc>
      </w:tr>
      <w:tr>
        <w:tc>
          <w:tcPr>
            <w:tcW w:type="dxa" w:w="2520"/>
          </w:tcPr>
          <w:p>
            <w:r>
              <w:rPr>
                <w:b/>
              </w:rPr>
              <w:t>Phase 0: Discovery &amp; AST X-Ray</w:t>
            </w:r>
          </w:p>
        </w:tc>
        <w:tc>
          <w:tcPr>
            <w:tcW w:type="dxa" w:w="2520"/>
          </w:tcPr>
          <w:p>
            <w:r>
              <w:t>Verified inventory, dead-code manifest, core SQL fan-out map &amp; blueprint</w:t>
            </w:r>
          </w:p>
        </w:tc>
        <w:tc>
          <w:tcPr>
            <w:tcW w:type="dxa" w:w="2520"/>
          </w:tcPr>
          <w:p>
            <w:r>
              <w:t>$ [Insert]</w:t>
            </w:r>
          </w:p>
        </w:tc>
        <w:tc>
          <w:tcPr>
            <w:tcW w:type="dxa" w:w="2520"/>
          </w:tcPr>
          <w:p>
            <w:r>
              <w:t>[2 - 3 Weeks]</w:t>
            </w:r>
          </w:p>
        </w:tc>
      </w:tr>
      <w:tr>
        <w:tc>
          <w:tcPr>
            <w:tcW w:type="dxa" w:w="2520"/>
          </w:tcPr>
          <w:p>
            <w:r>
              <w:rPr>
                <w:b/>
              </w:rPr>
              <w:t>Phase 1: Core Schema &amp; Logic Uplift</w:t>
            </w:r>
          </w:p>
        </w:tc>
        <w:tc>
          <w:tcPr>
            <w:tcW w:type="dxa" w:w="2520"/>
          </w:tcPr>
          <w:p>
            <w:r>
              <w:t>Provisioned target stack, schema migration &amp; automated logic conversion</w:t>
            </w:r>
          </w:p>
        </w:tc>
        <w:tc>
          <w:tcPr>
            <w:tcW w:type="dxa" w:w="2520"/>
          </w:tcPr>
          <w:p>
            <w:r>
              <w:t>$ [Insert]</w:t>
            </w:r>
          </w:p>
        </w:tc>
        <w:tc>
          <w:tcPr>
            <w:tcW w:type="dxa" w:w="2520"/>
          </w:tcPr>
          <w:p>
            <w:r>
              <w:t>[4 - 8 Weeks]</w:t>
            </w:r>
          </w:p>
        </w:tc>
      </w:tr>
      <w:tr>
        <w:tc>
          <w:tcPr>
            <w:tcW w:type="dxa" w:w="2520"/>
          </w:tcPr>
          <w:p>
            <w:r>
              <w:rPr>
                <w:b/>
              </w:rPr>
              <w:t>Phase 2: UI, Reports &amp; UAT</w:t>
            </w:r>
          </w:p>
        </w:tc>
        <w:tc>
          <w:tcPr>
            <w:tcW w:type="dxa" w:w="2520"/>
          </w:tcPr>
          <w:p>
            <w:r>
              <w:t>Modernized portals/screens, runtime reports, AOP templates &amp; UAT sign-off</w:t>
            </w:r>
          </w:p>
        </w:tc>
        <w:tc>
          <w:tcPr>
            <w:tcW w:type="dxa" w:w="2520"/>
          </w:tcPr>
          <w:p>
            <w:r>
              <w:t>$ [Insert]</w:t>
            </w:r>
          </w:p>
        </w:tc>
        <w:tc>
          <w:tcPr>
            <w:tcW w:type="dxa" w:w="2520"/>
          </w:tcPr>
          <w:p>
            <w:r>
              <w:t>[3 - 6 Weeks]</w:t>
            </w:r>
          </w:p>
        </w:tc>
      </w:tr>
      <w:tr>
        <w:tc>
          <w:tcPr>
            <w:tcW w:type="dxa" w:w="2520"/>
          </w:tcPr>
          <w:p>
            <w:r>
              <w:rPr>
                <w:b/>
              </w:rPr>
              <w:t>Phase 3: Cutover &amp; Hypercare</w:t>
            </w:r>
          </w:p>
        </w:tc>
        <w:tc>
          <w:tcPr>
            <w:tcW w:type="dxa" w:w="2520"/>
          </w:tcPr>
          <w:p>
            <w:r>
              <w:t>Rehearsed cutover, reconciliation sign-off &amp; 30-day production hypercare</w:t>
            </w:r>
          </w:p>
        </w:tc>
        <w:tc>
          <w:tcPr>
            <w:tcW w:type="dxa" w:w="2520"/>
          </w:tcPr>
          <w:p>
            <w:r>
              <w:t>$ [Insert]</w:t>
            </w:r>
          </w:p>
        </w:tc>
        <w:tc>
          <w:tcPr>
            <w:tcW w:type="dxa" w:w="2520"/>
          </w:tcPr>
          <w:p>
            <w:r>
              <w:t>[2 - 3 Weeks]</w:t>
            </w:r>
          </w:p>
        </w:tc>
      </w:tr>
      <w:tr>
        <w:tc>
          <w:tcPr>
            <w:tcW w:type="dxa" w:w="2520"/>
          </w:tcPr>
          <w:p>
            <w:r>
              <w:rPr>
                <w:b/>
              </w:rPr>
              <w:t>Optional: Annual Managed Support</w:t>
            </w:r>
          </w:p>
        </w:tc>
        <w:tc>
          <w:tcPr>
            <w:tcW w:type="dxa" w:w="2520"/>
          </w:tcPr>
          <w:p>
            <w:r>
              <w:t>24x7 monitoring, patching, DBA tuning &amp; quarterly enhancements</w:t>
            </w:r>
          </w:p>
        </w:tc>
        <w:tc>
          <w:tcPr>
            <w:tcW w:type="dxa" w:w="2520"/>
          </w:tcPr>
          <w:p>
            <w:r>
              <w:t>$ [Insert/yr]</w:t>
            </w:r>
          </w:p>
        </w:tc>
        <w:tc>
          <w:tcPr>
            <w:tcW w:type="dxa" w:w="2520"/>
          </w:tcPr>
          <w:p>
            <w:r>
              <w:t>[12 Months]</w:t>
            </w:r>
          </w:p>
        </w:tc>
      </w:tr>
    </w:tbl>
    <w:sectPr w:rsidR="00FC693F" w:rsidRPr="0006063C" w:rsidSect="00034616">
      <w:headerReference w:type="default" r:id="rId9"/>
      <w:footerReference w:type="default" r:id="rId10"/>
      <w:pgSz w:w="12240" w:h="15840"/>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This site is designed by Viscosity.AI  |  Editable Microsoft Word (.docx) RFP Template (VNA-RFP-024)</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t>MODIFIABLE RFP TEMPLATE &amp; VENDOR Q&amp;A  |  VNA-RFP-024  |  https://reverse-engineer-legacy-code-ast.web.app/</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rPr>
      <w:sz w:val="17"/>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sz w:val="17"/>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